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3B1E9" w14:textId="77777777" w:rsidR="00504814" w:rsidRDefault="00504814" w:rsidP="00504814">
      <w:pPr>
        <w:outlineLvl w:val="0"/>
        <w:rPr>
          <w:lang w:val="en-US" w:eastAsia="en-IE"/>
        </w:rPr>
      </w:pPr>
      <w:r>
        <w:rPr>
          <w:b/>
          <w:bCs/>
          <w:lang w:val="en-US" w:eastAsia="en-IE"/>
        </w:rPr>
        <w:t>From:</w:t>
      </w:r>
      <w:r>
        <w:rPr>
          <w:lang w:val="en-US" w:eastAsia="en-IE"/>
        </w:rPr>
        <w:t xml:space="preserve"> LDA - Oireachtas &lt;</w:t>
      </w:r>
      <w:hyperlink r:id="rId5" w:history="1">
        <w:r>
          <w:rPr>
            <w:rStyle w:val="Hyperlink"/>
            <w:lang w:val="en-US" w:eastAsia="en-IE"/>
          </w:rPr>
          <w:t>oireachtas@lda.ie</w:t>
        </w:r>
      </w:hyperlink>
      <w:r>
        <w:rPr>
          <w:lang w:val="en-US" w:eastAsia="en-IE"/>
        </w:rPr>
        <w:t xml:space="preserve">&gt; </w:t>
      </w:r>
      <w:r>
        <w:rPr>
          <w:lang w:val="en-US" w:eastAsia="en-IE"/>
        </w:rPr>
        <w:br/>
      </w:r>
      <w:r>
        <w:rPr>
          <w:b/>
          <w:bCs/>
          <w:lang w:val="en-US" w:eastAsia="en-IE"/>
        </w:rPr>
        <w:t>Sent:</w:t>
      </w:r>
      <w:r>
        <w:rPr>
          <w:lang w:val="en-US" w:eastAsia="en-IE"/>
        </w:rPr>
        <w:t xml:space="preserve"> Monday 4 December 2023 10:55</w:t>
      </w:r>
      <w:r>
        <w:rPr>
          <w:lang w:val="en-US" w:eastAsia="en-IE"/>
        </w:rPr>
        <w:br/>
      </w:r>
      <w:r>
        <w:rPr>
          <w:b/>
          <w:bCs/>
          <w:lang w:val="en-US" w:eastAsia="en-IE"/>
        </w:rPr>
        <w:t>To:</w:t>
      </w:r>
      <w:r>
        <w:rPr>
          <w:lang w:val="en-US" w:eastAsia="en-IE"/>
        </w:rPr>
        <w:t xml:space="preserve"> Eoin OBroin &lt;</w:t>
      </w:r>
      <w:hyperlink r:id="rId6" w:history="1">
        <w:r>
          <w:rPr>
            <w:rStyle w:val="Hyperlink"/>
            <w:lang w:val="en-US" w:eastAsia="en-IE"/>
          </w:rPr>
          <w:t>Eoin.OBroin@oireachtas.ie</w:t>
        </w:r>
      </w:hyperlink>
      <w:r>
        <w:rPr>
          <w:lang w:val="en-US" w:eastAsia="en-IE"/>
        </w:rPr>
        <w:t>&gt;</w:t>
      </w:r>
      <w:r>
        <w:rPr>
          <w:lang w:val="en-US" w:eastAsia="en-IE"/>
        </w:rPr>
        <w:br/>
      </w:r>
      <w:r>
        <w:rPr>
          <w:b/>
          <w:bCs/>
          <w:lang w:val="en-US" w:eastAsia="en-IE"/>
        </w:rPr>
        <w:t>Subject:</w:t>
      </w:r>
      <w:r>
        <w:rPr>
          <w:lang w:val="en-US" w:eastAsia="en-IE"/>
        </w:rPr>
        <w:t xml:space="preserve"> RE: Information request</w:t>
      </w:r>
    </w:p>
    <w:p w14:paraId="2CACF576" w14:textId="77777777" w:rsidR="00504814" w:rsidRDefault="00504814" w:rsidP="00504814"/>
    <w:p w14:paraId="02518417" w14:textId="77777777" w:rsidR="00504814" w:rsidRDefault="00504814" w:rsidP="00504814">
      <w:pPr>
        <w:rPr>
          <w:lang w:val="en-GB"/>
        </w:rPr>
      </w:pPr>
      <w:r>
        <w:rPr>
          <w:lang w:val="en-GB"/>
        </w:rPr>
        <w:t>Dear Eoin OBroin TD,</w:t>
      </w:r>
    </w:p>
    <w:p w14:paraId="0C452021" w14:textId="77777777" w:rsidR="00504814" w:rsidRDefault="00504814" w:rsidP="00504814">
      <w:pPr>
        <w:rPr>
          <w:b/>
          <w:bCs/>
          <w:lang w:val="en-GB"/>
        </w:rPr>
      </w:pPr>
    </w:p>
    <w:p w14:paraId="52EE4730" w14:textId="77777777" w:rsidR="00504814" w:rsidRDefault="00504814" w:rsidP="00504814">
      <w:pPr>
        <w:rPr>
          <w:b/>
          <w:bCs/>
          <w:lang w:val="en-GB"/>
        </w:rPr>
      </w:pPr>
      <w:r>
        <w:rPr>
          <w:b/>
          <w:bCs/>
          <w:lang w:val="en-GB"/>
        </w:rPr>
        <w:t>RE: Information Request.</w:t>
      </w:r>
    </w:p>
    <w:p w14:paraId="1A2DEBED" w14:textId="77777777" w:rsidR="00504814" w:rsidRDefault="00504814" w:rsidP="00504814">
      <w:pPr>
        <w:rPr>
          <w:b/>
          <w:bCs/>
          <w:lang w:val="en-GB"/>
        </w:rPr>
      </w:pPr>
    </w:p>
    <w:p w14:paraId="6EC09213" w14:textId="77777777" w:rsidR="00504814" w:rsidRDefault="00504814" w:rsidP="00504814">
      <w:pPr>
        <w:rPr>
          <w:lang w:val="en-GB"/>
        </w:rPr>
      </w:pPr>
      <w:r>
        <w:rPr>
          <w:lang w:val="en-GB"/>
        </w:rPr>
        <w:t>In relation to the above, please find requested information in red.</w:t>
      </w:r>
    </w:p>
    <w:p w14:paraId="6CB0DED5" w14:textId="77777777" w:rsidR="00504814" w:rsidRDefault="00504814" w:rsidP="00504814">
      <w:pPr>
        <w:ind w:left="720" w:hanging="360"/>
        <w:rPr>
          <w:lang w:val="en-GB"/>
        </w:rPr>
      </w:pPr>
    </w:p>
    <w:p w14:paraId="58617C00" w14:textId="77777777" w:rsidR="00504814" w:rsidRDefault="00504814" w:rsidP="00504814">
      <w:pPr>
        <w:pStyle w:val="ListParagraph"/>
      </w:pPr>
    </w:p>
    <w:p w14:paraId="2EDEF81F" w14:textId="77777777" w:rsidR="00504814" w:rsidRDefault="00504814" w:rsidP="00504814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Total number of contracts signed with developers under the Project </w:t>
      </w:r>
      <w:proofErr w:type="spellStart"/>
      <w:r>
        <w:rPr>
          <w:rFonts w:eastAsia="Times New Roman"/>
        </w:rPr>
        <w:t>Tosaigh</w:t>
      </w:r>
      <w:proofErr w:type="spell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scheme</w:t>
      </w:r>
      <w:proofErr w:type="gramEnd"/>
    </w:p>
    <w:p w14:paraId="3AE19B39" w14:textId="77777777" w:rsidR="00504814" w:rsidRDefault="00504814" w:rsidP="00504814">
      <w:pPr>
        <w:pStyle w:val="ListParagraph"/>
        <w:numPr>
          <w:ilvl w:val="0"/>
          <w:numId w:val="2"/>
        </w:numPr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 xml:space="preserve">The LDA is tracking to deliver c. 2,500 homes under the Project </w:t>
      </w:r>
      <w:proofErr w:type="spellStart"/>
      <w:r>
        <w:rPr>
          <w:rFonts w:eastAsia="Times New Roman"/>
          <w:color w:val="FF0000"/>
        </w:rPr>
        <w:t>Tosaigh</w:t>
      </w:r>
      <w:proofErr w:type="spellEnd"/>
      <w:r>
        <w:rPr>
          <w:rFonts w:eastAsia="Times New Roman"/>
          <w:color w:val="FF0000"/>
        </w:rPr>
        <w:t xml:space="preserve"> forward purchase framework. This is prior to the commencement of the second phase of Project </w:t>
      </w:r>
      <w:proofErr w:type="spellStart"/>
      <w:r>
        <w:rPr>
          <w:rFonts w:eastAsia="Times New Roman"/>
          <w:color w:val="FF0000"/>
        </w:rPr>
        <w:t>Tosaigh</w:t>
      </w:r>
      <w:proofErr w:type="spellEnd"/>
      <w:r>
        <w:rPr>
          <w:rFonts w:eastAsia="Times New Roman"/>
          <w:color w:val="FF0000"/>
        </w:rPr>
        <w:t xml:space="preserve">, a forward funding mechanism to be established in Q1 2024 (procurement commenced). The LDA remains on track to deliver the Housing for All Project </w:t>
      </w:r>
      <w:proofErr w:type="spellStart"/>
      <w:r>
        <w:rPr>
          <w:rFonts w:eastAsia="Times New Roman"/>
          <w:color w:val="FF0000"/>
        </w:rPr>
        <w:t>Tosaigh</w:t>
      </w:r>
      <w:proofErr w:type="spellEnd"/>
      <w:r>
        <w:rPr>
          <w:rFonts w:eastAsia="Times New Roman"/>
          <w:color w:val="FF0000"/>
        </w:rPr>
        <w:t xml:space="preserve"> delivery target of 5,000 during the lifetime of the programme. </w:t>
      </w:r>
    </w:p>
    <w:p w14:paraId="7C0CAB00" w14:textId="77777777" w:rsidR="00504814" w:rsidRDefault="00504814" w:rsidP="00504814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Total cost to the LDA arising from these </w:t>
      </w:r>
      <w:proofErr w:type="gramStart"/>
      <w:r>
        <w:rPr>
          <w:rFonts w:eastAsia="Times New Roman"/>
        </w:rPr>
        <w:t>contracts</w:t>
      </w:r>
      <w:proofErr w:type="gramEnd"/>
    </w:p>
    <w:p w14:paraId="0D092247" w14:textId="77777777" w:rsidR="00504814" w:rsidRDefault="00504814" w:rsidP="00504814">
      <w:pPr>
        <w:pStyle w:val="ListParagraph"/>
        <w:numPr>
          <w:ilvl w:val="0"/>
          <w:numId w:val="2"/>
        </w:numPr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 xml:space="preserve">Commercially sensitive, particularly in relation to the ongoing programme of delivery. The LDA has a robust value for money framework in place in relation to Project </w:t>
      </w:r>
      <w:proofErr w:type="spellStart"/>
      <w:r>
        <w:rPr>
          <w:rFonts w:eastAsia="Times New Roman"/>
          <w:color w:val="FF0000"/>
        </w:rPr>
        <w:t>Tosaigh</w:t>
      </w:r>
      <w:proofErr w:type="spellEnd"/>
      <w:r>
        <w:rPr>
          <w:rFonts w:eastAsia="Times New Roman"/>
          <w:color w:val="FF0000"/>
        </w:rPr>
        <w:t xml:space="preserve"> delivery which includes an external valuation approach in combination with an external QS review and opinion in relation to delivery costs.  </w:t>
      </w:r>
    </w:p>
    <w:p w14:paraId="3274BA43" w14:textId="77777777" w:rsidR="00504814" w:rsidRDefault="00504814" w:rsidP="00504814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A breakdown of the contracts by county detailing the number of contracts in each county and the number of new units attached to each </w:t>
      </w:r>
      <w:proofErr w:type="gramStart"/>
      <w:r>
        <w:rPr>
          <w:rFonts w:eastAsia="Times New Roman"/>
        </w:rPr>
        <w:t>contract</w:t>
      </w:r>
      <w:proofErr w:type="gramEnd"/>
    </w:p>
    <w:p w14:paraId="431A6638" w14:textId="77777777" w:rsidR="00504814" w:rsidRDefault="00504814" w:rsidP="00504814"/>
    <w:p w14:paraId="66D04FED" w14:textId="77777777" w:rsidR="00504814" w:rsidRDefault="00504814" w:rsidP="00504814">
      <w:pPr>
        <w:ind w:firstLine="720"/>
        <w:rPr>
          <w:color w:val="FF0000"/>
        </w:rPr>
      </w:pPr>
      <w:r>
        <w:rPr>
          <w:color w:val="FF0000"/>
        </w:rPr>
        <w:t xml:space="preserve">Breakdown of </w:t>
      </w:r>
      <w:proofErr w:type="spellStart"/>
      <w:r>
        <w:rPr>
          <w:color w:val="FF0000"/>
        </w:rPr>
        <w:t>Tosaigh</w:t>
      </w:r>
      <w:proofErr w:type="spellEnd"/>
      <w:r>
        <w:rPr>
          <w:color w:val="FF0000"/>
        </w:rPr>
        <w:t xml:space="preserve"> delivery </w:t>
      </w:r>
    </w:p>
    <w:tbl>
      <w:tblPr>
        <w:tblW w:w="4245" w:type="dxa"/>
        <w:tblInd w:w="7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4"/>
        <w:gridCol w:w="2541"/>
      </w:tblGrid>
      <w:tr w:rsidR="00504814" w14:paraId="37681AA8" w14:textId="77777777" w:rsidTr="00504814">
        <w:trPr>
          <w:trHeight w:val="300"/>
        </w:trPr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73247" w14:textId="77777777" w:rsidR="00504814" w:rsidRDefault="00504814">
            <w:pPr>
              <w:rPr>
                <w:color w:val="FF0000"/>
              </w:rPr>
            </w:pPr>
          </w:p>
        </w:tc>
        <w:tc>
          <w:tcPr>
            <w:tcW w:w="2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0BF50" w14:textId="77777777" w:rsidR="00504814" w:rsidRDefault="00504814">
            <w:pPr>
              <w:jc w:val="center"/>
              <w:rPr>
                <w:b/>
                <w:bCs/>
                <w:color w:val="000000"/>
                <w:lang w:eastAsia="en-IE"/>
              </w:rPr>
            </w:pPr>
            <w:r>
              <w:rPr>
                <w:b/>
                <w:bCs/>
              </w:rPr>
              <w:t>No. of Units</w:t>
            </w:r>
          </w:p>
        </w:tc>
      </w:tr>
      <w:tr w:rsidR="00504814" w14:paraId="06893090" w14:textId="77777777" w:rsidTr="00504814">
        <w:trPr>
          <w:trHeight w:val="300"/>
        </w:trPr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37A85" w14:textId="77777777" w:rsidR="00504814" w:rsidRDefault="00504814">
            <w:pPr>
              <w:jc w:val="center"/>
              <w:rPr>
                <w:i/>
                <w:iCs/>
                <w:color w:val="000000"/>
                <w:lang w:eastAsia="en-IE"/>
              </w:rPr>
            </w:pPr>
            <w:r>
              <w:t>Dublin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011D6" w14:textId="77777777" w:rsidR="00504814" w:rsidRDefault="00504814">
            <w:pPr>
              <w:jc w:val="center"/>
              <w:rPr>
                <w:i/>
                <w:iCs/>
                <w:color w:val="000000"/>
                <w:lang w:eastAsia="en-IE"/>
              </w:rPr>
            </w:pPr>
            <w:r>
              <w:t xml:space="preserve">1,672 </w:t>
            </w:r>
          </w:p>
        </w:tc>
      </w:tr>
      <w:tr w:rsidR="00504814" w14:paraId="70425F65" w14:textId="77777777" w:rsidTr="00504814">
        <w:trPr>
          <w:trHeight w:val="300"/>
        </w:trPr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8B46A" w14:textId="77777777" w:rsidR="00504814" w:rsidRDefault="00504814">
            <w:pPr>
              <w:jc w:val="center"/>
              <w:rPr>
                <w:i/>
                <w:iCs/>
                <w:color w:val="000000"/>
                <w:lang w:eastAsia="en-IE"/>
              </w:rPr>
            </w:pPr>
            <w:r>
              <w:t>Cork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E37E0" w14:textId="77777777" w:rsidR="00504814" w:rsidRDefault="00504814">
            <w:pPr>
              <w:jc w:val="center"/>
              <w:rPr>
                <w:i/>
                <w:iCs/>
                <w:color w:val="000000"/>
                <w:lang w:eastAsia="en-IE"/>
              </w:rPr>
            </w:pPr>
            <w:r>
              <w:t xml:space="preserve">397 </w:t>
            </w:r>
          </w:p>
        </w:tc>
      </w:tr>
      <w:tr w:rsidR="00504814" w14:paraId="0E8B9019" w14:textId="77777777" w:rsidTr="00504814">
        <w:trPr>
          <w:trHeight w:val="300"/>
        </w:trPr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2896C" w14:textId="77777777" w:rsidR="00504814" w:rsidRDefault="00504814">
            <w:pPr>
              <w:jc w:val="center"/>
              <w:rPr>
                <w:i/>
                <w:iCs/>
                <w:color w:val="000000"/>
                <w:lang w:eastAsia="en-IE"/>
              </w:rPr>
            </w:pPr>
            <w:r>
              <w:t>Wicklow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EC516" w14:textId="77777777" w:rsidR="00504814" w:rsidRDefault="00504814">
            <w:pPr>
              <w:jc w:val="center"/>
              <w:rPr>
                <w:i/>
                <w:iCs/>
                <w:color w:val="000000"/>
                <w:lang w:eastAsia="en-IE"/>
              </w:rPr>
            </w:pPr>
            <w:r>
              <w:t xml:space="preserve">142 </w:t>
            </w:r>
          </w:p>
        </w:tc>
      </w:tr>
      <w:tr w:rsidR="00504814" w14:paraId="4A2F3CEE" w14:textId="77777777" w:rsidTr="00504814">
        <w:trPr>
          <w:trHeight w:val="300"/>
        </w:trPr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3BDEA" w14:textId="77777777" w:rsidR="00504814" w:rsidRDefault="00504814">
            <w:pPr>
              <w:jc w:val="center"/>
              <w:rPr>
                <w:i/>
                <w:iCs/>
                <w:color w:val="000000"/>
                <w:lang w:eastAsia="en-IE"/>
              </w:rPr>
            </w:pPr>
            <w:r>
              <w:t>Meath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981A4" w14:textId="77777777" w:rsidR="00504814" w:rsidRDefault="00504814">
            <w:pPr>
              <w:jc w:val="center"/>
              <w:rPr>
                <w:i/>
                <w:iCs/>
                <w:color w:val="000000"/>
                <w:lang w:eastAsia="en-IE"/>
              </w:rPr>
            </w:pPr>
            <w:r>
              <w:t xml:space="preserve">50 </w:t>
            </w:r>
          </w:p>
        </w:tc>
      </w:tr>
      <w:tr w:rsidR="00504814" w14:paraId="43C5E331" w14:textId="77777777" w:rsidTr="00504814">
        <w:trPr>
          <w:trHeight w:val="300"/>
        </w:trPr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153D3" w14:textId="77777777" w:rsidR="00504814" w:rsidRDefault="00504814">
            <w:pPr>
              <w:jc w:val="center"/>
              <w:rPr>
                <w:i/>
                <w:iCs/>
                <w:color w:val="000000"/>
                <w:lang w:eastAsia="en-IE"/>
              </w:rPr>
            </w:pPr>
            <w:r>
              <w:t>Limerick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98592" w14:textId="77777777" w:rsidR="00504814" w:rsidRDefault="00504814">
            <w:pPr>
              <w:jc w:val="center"/>
              <w:rPr>
                <w:i/>
                <w:iCs/>
                <w:color w:val="000000"/>
                <w:lang w:eastAsia="en-IE"/>
              </w:rPr>
            </w:pPr>
            <w:r>
              <w:t xml:space="preserve">81 </w:t>
            </w:r>
          </w:p>
        </w:tc>
      </w:tr>
      <w:tr w:rsidR="00504814" w14:paraId="39E820E5" w14:textId="77777777" w:rsidTr="00504814">
        <w:trPr>
          <w:trHeight w:val="300"/>
        </w:trPr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9AEA3" w14:textId="77777777" w:rsidR="00504814" w:rsidRDefault="00504814">
            <w:pPr>
              <w:jc w:val="center"/>
              <w:rPr>
                <w:i/>
                <w:iCs/>
                <w:color w:val="000000"/>
                <w:lang w:eastAsia="en-IE"/>
              </w:rPr>
            </w:pPr>
            <w:r>
              <w:t>Kildare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D62E8" w14:textId="77777777" w:rsidR="00504814" w:rsidRDefault="00504814">
            <w:pPr>
              <w:jc w:val="center"/>
              <w:rPr>
                <w:i/>
                <w:iCs/>
                <w:color w:val="000000"/>
                <w:lang w:eastAsia="en-IE"/>
              </w:rPr>
            </w:pPr>
            <w:r>
              <w:t xml:space="preserve">73 </w:t>
            </w:r>
          </w:p>
        </w:tc>
      </w:tr>
      <w:tr w:rsidR="00504814" w14:paraId="1AB26D5A" w14:textId="77777777" w:rsidTr="00504814">
        <w:trPr>
          <w:trHeight w:val="300"/>
        </w:trPr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2B707" w14:textId="77777777" w:rsidR="00504814" w:rsidRDefault="00504814">
            <w:pPr>
              <w:jc w:val="center"/>
              <w:rPr>
                <w:i/>
                <w:iCs/>
                <w:color w:val="000000"/>
                <w:lang w:eastAsia="en-IE"/>
              </w:rPr>
            </w:pPr>
            <w:r>
              <w:t>Waterford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4461C" w14:textId="77777777" w:rsidR="00504814" w:rsidRDefault="00504814">
            <w:pPr>
              <w:jc w:val="center"/>
              <w:rPr>
                <w:i/>
                <w:iCs/>
                <w:color w:val="000000"/>
                <w:lang w:eastAsia="en-IE"/>
              </w:rPr>
            </w:pPr>
            <w:r>
              <w:t xml:space="preserve">92 </w:t>
            </w:r>
          </w:p>
        </w:tc>
      </w:tr>
      <w:tr w:rsidR="00504814" w14:paraId="52140364" w14:textId="77777777" w:rsidTr="00504814">
        <w:trPr>
          <w:trHeight w:val="300"/>
        </w:trPr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9CC9E" w14:textId="77777777" w:rsidR="00504814" w:rsidRDefault="00504814">
            <w:pPr>
              <w:jc w:val="center"/>
              <w:rPr>
                <w:b/>
                <w:bCs/>
                <w:i/>
                <w:iCs/>
                <w:color w:val="000000"/>
                <w:lang w:eastAsia="en-IE"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BA8B5" w14:textId="77777777" w:rsidR="00504814" w:rsidRDefault="00504814">
            <w:pPr>
              <w:jc w:val="center"/>
              <w:rPr>
                <w:b/>
                <w:bCs/>
                <w:i/>
                <w:iCs/>
                <w:color w:val="000000"/>
                <w:lang w:eastAsia="en-IE"/>
              </w:rPr>
            </w:pPr>
            <w:r>
              <w:rPr>
                <w:b/>
                <w:bCs/>
              </w:rPr>
              <w:t xml:space="preserve">2,507 </w:t>
            </w:r>
          </w:p>
        </w:tc>
      </w:tr>
    </w:tbl>
    <w:p w14:paraId="64D2F2C9" w14:textId="77777777" w:rsidR="00504814" w:rsidRDefault="00504814" w:rsidP="00504814">
      <w:pPr>
        <w:rPr>
          <w:highlight w:val="yellow"/>
        </w:rPr>
      </w:pPr>
    </w:p>
    <w:p w14:paraId="0BB8F299" w14:textId="77777777" w:rsidR="00504814" w:rsidRDefault="00504814" w:rsidP="00504814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A </w:t>
      </w:r>
      <w:proofErr w:type="gramStart"/>
      <w:r>
        <w:rPr>
          <w:rFonts w:eastAsia="Times New Roman"/>
        </w:rPr>
        <w:t>time line</w:t>
      </w:r>
      <w:proofErr w:type="gramEnd"/>
      <w:r>
        <w:rPr>
          <w:rFonts w:eastAsia="Times New Roman"/>
        </w:rPr>
        <w:t xml:space="preserve"> for completion of the units for each contract to be included in the breakdown</w:t>
      </w:r>
    </w:p>
    <w:p w14:paraId="513F886F" w14:textId="77777777" w:rsidR="00504814" w:rsidRDefault="00504814" w:rsidP="00504814">
      <w:pPr>
        <w:pStyle w:val="ListParagraph"/>
        <w:numPr>
          <w:ilvl w:val="0"/>
          <w:numId w:val="2"/>
        </w:numPr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 xml:space="preserve">Of the initial </w:t>
      </w:r>
      <w:r>
        <w:rPr>
          <w:rFonts w:eastAsia="Times New Roman"/>
        </w:rPr>
        <w:t>c.</w:t>
      </w:r>
      <w:r>
        <w:rPr>
          <w:rFonts w:eastAsia="Times New Roman"/>
          <w:color w:val="FF0000"/>
        </w:rPr>
        <w:t xml:space="preserve">2,500 homes, it is anticipated that c. 1,090 will achieve completion by y/e 2023 with the remaining units delivered in 2024 and thereafter. It should also be noted that the LDA intends to add to its 2024 / 2025 pipeline, both through additional unit delivery under the Project </w:t>
      </w:r>
      <w:proofErr w:type="spellStart"/>
      <w:r>
        <w:rPr>
          <w:rFonts w:eastAsia="Times New Roman"/>
          <w:color w:val="FF0000"/>
        </w:rPr>
        <w:t>Tosaigh</w:t>
      </w:r>
      <w:proofErr w:type="spellEnd"/>
      <w:r>
        <w:rPr>
          <w:rFonts w:eastAsia="Times New Roman"/>
          <w:color w:val="FF0000"/>
        </w:rPr>
        <w:t xml:space="preserve"> framework and through direct delivery in relation to state lands.   </w:t>
      </w:r>
    </w:p>
    <w:p w14:paraId="0D61F4A7" w14:textId="77777777" w:rsidR="00504814" w:rsidRDefault="00504814" w:rsidP="00504814">
      <w:pPr>
        <w:rPr>
          <w:lang w:val="en-GB"/>
        </w:rPr>
      </w:pPr>
    </w:p>
    <w:p w14:paraId="54D37EF3" w14:textId="77777777" w:rsidR="00504814" w:rsidRDefault="00504814" w:rsidP="00504814">
      <w:pPr>
        <w:rPr>
          <w:lang w:val="en-GB"/>
        </w:rPr>
      </w:pPr>
    </w:p>
    <w:p w14:paraId="0B1A7E79" w14:textId="77777777" w:rsidR="00504814" w:rsidRDefault="00504814" w:rsidP="00504814">
      <w:pPr>
        <w:rPr>
          <w:lang w:val="en-GB"/>
        </w:rPr>
      </w:pPr>
    </w:p>
    <w:p w14:paraId="51040B88" w14:textId="77777777" w:rsidR="00504814" w:rsidRDefault="00504814" w:rsidP="00504814">
      <w:pPr>
        <w:rPr>
          <w:lang w:val="en-GB"/>
        </w:rPr>
      </w:pPr>
    </w:p>
    <w:p w14:paraId="32A94F63" w14:textId="77777777" w:rsidR="00504814" w:rsidRDefault="00504814" w:rsidP="00504814">
      <w:pPr>
        <w:rPr>
          <w:lang w:val="en-GB"/>
        </w:rPr>
      </w:pPr>
    </w:p>
    <w:p w14:paraId="45B01EF1" w14:textId="77777777" w:rsidR="00504814" w:rsidRDefault="00504814" w:rsidP="00504814">
      <w:pPr>
        <w:rPr>
          <w:lang w:val="en-GB"/>
        </w:rPr>
      </w:pPr>
    </w:p>
    <w:p w14:paraId="5FC39996" w14:textId="77777777" w:rsidR="00504814" w:rsidRDefault="00504814" w:rsidP="00504814">
      <w:pPr>
        <w:rPr>
          <w:lang w:val="en-GB"/>
        </w:rPr>
      </w:pPr>
    </w:p>
    <w:p w14:paraId="75B86A7F" w14:textId="77777777" w:rsidR="00504814" w:rsidRDefault="00504814" w:rsidP="00504814">
      <w:pPr>
        <w:rPr>
          <w:lang w:val="en-GB"/>
        </w:rPr>
      </w:pPr>
    </w:p>
    <w:p w14:paraId="01F3547B" w14:textId="6DE7EE93" w:rsidR="00504814" w:rsidRDefault="00504814" w:rsidP="00504814">
      <w:pPr>
        <w:rPr>
          <w:lang w:val="en-GB"/>
        </w:rPr>
      </w:pPr>
      <w:r>
        <w:rPr>
          <w:lang w:val="en-GB"/>
        </w:rPr>
        <w:lastRenderedPageBreak/>
        <w:t>Kind regards,</w:t>
      </w:r>
    </w:p>
    <w:p w14:paraId="6EFCB3CB" w14:textId="77777777" w:rsidR="00504814" w:rsidRDefault="00504814" w:rsidP="00504814">
      <w:pPr>
        <w:pStyle w:val="ListParagraph"/>
        <w:rPr>
          <w:lang w:val="en-GB"/>
        </w:rPr>
      </w:pPr>
    </w:p>
    <w:tbl>
      <w:tblPr>
        <w:tblW w:w="79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0"/>
        <w:gridCol w:w="5490"/>
      </w:tblGrid>
      <w:tr w:rsidR="00504814" w14:paraId="1E6DDF8D" w14:textId="77777777" w:rsidTr="00504814">
        <w:trPr>
          <w:tblCellSpacing w:w="0" w:type="dxa"/>
        </w:trPr>
        <w:tc>
          <w:tcPr>
            <w:tcW w:w="1230" w:type="dxa"/>
            <w:hideMark/>
          </w:tcPr>
          <w:p w14:paraId="6F8A6D07" w14:textId="77777777" w:rsidR="00504814" w:rsidRDefault="00504814">
            <w:pPr>
              <w:rPr>
                <w:lang w:val="en-GB"/>
              </w:rPr>
            </w:pPr>
          </w:p>
        </w:tc>
        <w:tc>
          <w:tcPr>
            <w:tcW w:w="675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2C85A73F" w14:textId="77777777" w:rsidR="00504814" w:rsidRDefault="00504814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04814" w14:paraId="465D9C4A" w14:textId="77777777" w:rsidTr="00504814">
        <w:trPr>
          <w:tblCellSpacing w:w="0" w:type="dxa"/>
        </w:trPr>
        <w:tc>
          <w:tcPr>
            <w:tcW w:w="1230" w:type="dxa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14:paraId="7825D885" w14:textId="7DC822C3" w:rsidR="00504814" w:rsidRDefault="00504814">
            <w:pPr>
              <w:rPr>
                <w:rFonts w:ascii="Arial" w:hAnsi="Arial" w:cs="Arial"/>
                <w:color w:val="3C3C3B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12529"/>
                <w:sz w:val="18"/>
                <w:szCs w:val="18"/>
              </w:rPr>
              <w:drawing>
                <wp:inline distT="0" distB="0" distL="0" distR="0" wp14:anchorId="650BEBD8" wp14:editId="02B89210">
                  <wp:extent cx="1478280" cy="716280"/>
                  <wp:effectExtent l="0" t="0" r="762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  <w:tcBorders>
              <w:top w:val="nil"/>
              <w:left w:val="single" w:sz="8" w:space="0" w:color="C6C6C5"/>
              <w:bottom w:val="nil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730A6ECE" w14:textId="77777777" w:rsidR="00504814" w:rsidRDefault="00504814">
            <w:pPr>
              <w:rPr>
                <w:rFonts w:ascii="Arial" w:hAnsi="Arial" w:cs="Arial"/>
                <w:color w:val="3C3C3B"/>
                <w:sz w:val="16"/>
                <w:szCs w:val="16"/>
              </w:rPr>
            </w:pPr>
            <w:r>
              <w:rPr>
                <w:rFonts w:ascii="Arial" w:hAnsi="Arial" w:cs="Arial"/>
                <w:color w:val="0C563A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212529"/>
                <w:sz w:val="20"/>
                <w:szCs w:val="20"/>
              </w:rPr>
              <w:t>Senior Compliance Manager</w:t>
            </w:r>
            <w:r>
              <w:rPr>
                <w:rFonts w:ascii="Arial" w:hAnsi="Arial" w:cs="Arial"/>
                <w:color w:val="212529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C563A"/>
                <w:sz w:val="20"/>
                <w:szCs w:val="20"/>
                <w:shd w:val="clear" w:color="auto" w:fill="FFFFFF"/>
              </w:rPr>
              <w:t>The Land Development Agency</w:t>
            </w:r>
            <w:r>
              <w:rPr>
                <w:rFonts w:ascii="Arial" w:hAnsi="Arial" w:cs="Arial"/>
                <w:b/>
                <w:bCs/>
                <w:color w:val="0C563A"/>
                <w:sz w:val="20"/>
                <w:szCs w:val="20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3C3C3B"/>
                <w:sz w:val="16"/>
                <w:szCs w:val="16"/>
              </w:rPr>
              <w:t>2nd Floor, Ashford House, Tara Street, Dublin, D02 VX67</w:t>
            </w:r>
          </w:p>
          <w:p w14:paraId="5EF05E46" w14:textId="076038D1" w:rsidR="00504814" w:rsidRDefault="00504814">
            <w:pPr>
              <w:rPr>
                <w:rFonts w:ascii="Arial" w:hAnsi="Arial" w:cs="Arial"/>
                <w:color w:val="3C3C3B"/>
                <w:sz w:val="16"/>
                <w:szCs w:val="16"/>
              </w:rPr>
            </w:pPr>
            <w:hyperlink r:id="rId9" w:history="1">
              <w:r>
                <w:rPr>
                  <w:rStyle w:val="Hyperlink"/>
                  <w:rFonts w:ascii="Arial" w:hAnsi="Arial" w:cs="Arial"/>
                  <w:sz w:val="16"/>
                  <w:szCs w:val="16"/>
                </w:rPr>
                <w:t>www.lda.ie</w:t>
              </w:r>
            </w:hyperlink>
            <w:r>
              <w:rPr>
                <w:rFonts w:ascii="Arial" w:hAnsi="Arial" w:cs="Arial"/>
                <w:color w:val="212529"/>
                <w:sz w:val="16"/>
                <w:szCs w:val="16"/>
              </w:rPr>
              <w:t> </w:t>
            </w:r>
          </w:p>
        </w:tc>
      </w:tr>
    </w:tbl>
    <w:p w14:paraId="10419C33" w14:textId="77777777" w:rsidR="00504814" w:rsidRDefault="00504814" w:rsidP="00504814"/>
    <w:p w14:paraId="401217C9" w14:textId="77777777" w:rsidR="00504814" w:rsidRDefault="00504814" w:rsidP="00504814">
      <w:pPr>
        <w:rPr>
          <w:lang w:val="en-GB"/>
        </w:rPr>
      </w:pPr>
    </w:p>
    <w:p w14:paraId="1E8074B9" w14:textId="77777777" w:rsidR="00BD025D" w:rsidRDefault="00BD025D"/>
    <w:sectPr w:rsidR="00BD02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3E0F"/>
    <w:multiLevelType w:val="hybridMultilevel"/>
    <w:tmpl w:val="15608CD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02E12"/>
    <w:multiLevelType w:val="hybridMultilevel"/>
    <w:tmpl w:val="B3AE8E9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5746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883612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814"/>
    <w:rsid w:val="00504814"/>
    <w:rsid w:val="00BD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D0EA1"/>
  <w15:chartTrackingRefBased/>
  <w15:docId w15:val="{E81C34CE-2CEA-4F31-9315-9B83D6C79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81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0481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50481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7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A26A0.53CABF7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oin.OBroin@oireachtas.ie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oireachtas@lda.i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ur04.safelinks.protection.outlook.com/?url=https%3A%2F%2Fwww.lda.ie%2F&amp;data=05%7C02%7CTara.Byrne%40oireachtas.ie%7C56fb1756512d464906d608dc0d3a0161%7Cce71ecf00b9747b2966cb4ecc8db23f2%7C0%7C0%7C638399789973452866%7CUnknown%7CTWFpbGZsb3d8eyJWIjoiMC4wLjAwMDAiLCJQIjoiV2luMzIiLCJBTiI6Ik1haWwiLCJXVCI6Mn0%3D%7C3000%7C%7C%7C&amp;sdata=4QGyBESpJDGW9rjE%2FHwr2CzqOyKQq6qnqCez8p12NIQ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2153</Characters>
  <Application>Microsoft Office Word</Application>
  <DocSecurity>0</DocSecurity>
  <Lines>17</Lines>
  <Paragraphs>5</Paragraphs>
  <ScaleCrop>false</ScaleCrop>
  <Company>The Oireachtas House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Byrne</dc:creator>
  <cp:keywords/>
  <dc:description/>
  <cp:lastModifiedBy>Tara Byrne</cp:lastModifiedBy>
  <cp:revision>1</cp:revision>
  <dcterms:created xsi:type="dcterms:W3CDTF">2024-01-08T15:43:00Z</dcterms:created>
  <dcterms:modified xsi:type="dcterms:W3CDTF">2024-01-08T15:44:00Z</dcterms:modified>
</cp:coreProperties>
</file>